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31" w:rsidRPr="008F0A31" w:rsidRDefault="008F0A31" w:rsidP="008F0A31">
      <w:pPr>
        <w:jc w:val="center"/>
        <w:rPr>
          <w:u w:val="single"/>
        </w:rPr>
      </w:pPr>
      <w:proofErr w:type="spellStart"/>
      <w:r w:rsidRPr="008F0A31">
        <w:rPr>
          <w:u w:val="single"/>
        </w:rPr>
        <w:t>GAYRIRESMİ</w:t>
      </w:r>
      <w:proofErr w:type="spellEnd"/>
      <w:r w:rsidRPr="008F0A31">
        <w:rPr>
          <w:u w:val="single"/>
        </w:rPr>
        <w:t xml:space="preserve"> ÇEVİRİ</w:t>
      </w:r>
    </w:p>
    <w:p w:rsidR="00FF23B0" w:rsidRPr="008F0A31" w:rsidRDefault="00E36C86" w:rsidP="008E12AF">
      <w:pPr>
        <w:rPr>
          <w:b/>
        </w:rPr>
      </w:pPr>
      <w:proofErr w:type="spellStart"/>
      <w:r>
        <w:t>COMEG</w:t>
      </w:r>
      <w:proofErr w:type="spellEnd"/>
      <w:r w:rsidR="008E12AF">
        <w:t xml:space="preserve">                </w:t>
      </w:r>
      <w:r w:rsidRPr="008F0A31">
        <w:rPr>
          <w:b/>
        </w:rPr>
        <w:t>TEDARİKÇİLERİN ÖN SEÇİMİ İÇİN AÇILAN ULUSLARARASI İHALE DUYURUSU</w:t>
      </w:r>
    </w:p>
    <w:p w:rsidR="00E36C86" w:rsidRPr="008E12AF" w:rsidRDefault="00E36C86" w:rsidP="00E36C86">
      <w:pPr>
        <w:jc w:val="both"/>
        <w:rPr>
          <w:sz w:val="20"/>
          <w:szCs w:val="20"/>
        </w:rPr>
      </w:pPr>
      <w:r w:rsidRPr="008E12AF">
        <w:rPr>
          <w:sz w:val="20"/>
          <w:szCs w:val="20"/>
        </w:rPr>
        <w:t>Kongo Temel ve Eşdeğer İlaçlar Satın Alma Merkezi (</w:t>
      </w:r>
      <w:proofErr w:type="spellStart"/>
      <w:r w:rsidRPr="008E12AF">
        <w:rPr>
          <w:sz w:val="20"/>
          <w:szCs w:val="20"/>
        </w:rPr>
        <w:t>COMEG</w:t>
      </w:r>
      <w:proofErr w:type="spellEnd"/>
      <w:r w:rsidRPr="008E12AF">
        <w:rPr>
          <w:sz w:val="20"/>
          <w:szCs w:val="20"/>
        </w:rPr>
        <w:t xml:space="preserve">), </w:t>
      </w:r>
      <w:proofErr w:type="spellStart"/>
      <w:r w:rsidRPr="008E12AF">
        <w:rPr>
          <w:sz w:val="20"/>
          <w:szCs w:val="20"/>
        </w:rPr>
        <w:t>I</w:t>
      </w:r>
      <w:r w:rsidR="00AE468C" w:rsidRPr="008E12AF">
        <w:rPr>
          <w:sz w:val="20"/>
          <w:szCs w:val="20"/>
        </w:rPr>
        <w:t>NN</w:t>
      </w:r>
      <w:proofErr w:type="spellEnd"/>
      <w:r w:rsidR="00AE468C" w:rsidRPr="008E12AF">
        <w:rPr>
          <w:sz w:val="20"/>
          <w:szCs w:val="20"/>
        </w:rPr>
        <w:t xml:space="preserve"> altında temel eşdeğer ilaçların, tıbbi tüketim malzemelerinin, reaktiflerin ve diğer eczacılık ürünlerinin</w:t>
      </w:r>
      <w:r w:rsidR="008F0A31" w:rsidRPr="008E12AF">
        <w:rPr>
          <w:sz w:val="20"/>
          <w:szCs w:val="20"/>
        </w:rPr>
        <w:t xml:space="preserve"> üreticilerinin </w:t>
      </w:r>
      <w:r w:rsidR="00AE468C" w:rsidRPr="008E12AF">
        <w:rPr>
          <w:sz w:val="20"/>
          <w:szCs w:val="20"/>
        </w:rPr>
        <w:t>ön seçimini yapmak üzere uluslararası bir ihale açmaktadır.</w:t>
      </w:r>
      <w:r w:rsidRPr="008E12AF">
        <w:rPr>
          <w:sz w:val="20"/>
          <w:szCs w:val="20"/>
        </w:rPr>
        <w:t xml:space="preserve"> </w:t>
      </w:r>
    </w:p>
    <w:p w:rsidR="00AE468C" w:rsidRPr="008E12AF" w:rsidRDefault="00AE468C" w:rsidP="00E36C86">
      <w:pPr>
        <w:jc w:val="both"/>
        <w:rPr>
          <w:sz w:val="20"/>
          <w:szCs w:val="20"/>
        </w:rPr>
      </w:pPr>
      <w:r w:rsidRPr="008E12AF">
        <w:rPr>
          <w:sz w:val="20"/>
          <w:szCs w:val="20"/>
        </w:rPr>
        <w:t xml:space="preserve">Bu süreç, tedarikçilerin kabiliyetlerinin ve ürünlerin kalitelerinin değerlendirilmesinden sonra onaylanmış bir ürün-üretim tesisi eşleştirmesi listesi oluşturmaya yöneliktir. Verilecek onay, üç yıllık bir süre için geçerli olacak ve ön seçimden geçen tedarikçilere, bu süre içerisinde ürün/onaylanmış üretim tesisi ikilileri için açık olacak kısıtlı istişarelere katılma imkânı verecektir. </w:t>
      </w:r>
    </w:p>
    <w:p w:rsidR="00AE468C" w:rsidRPr="008E12AF" w:rsidRDefault="00AE468C" w:rsidP="00E36C86">
      <w:pPr>
        <w:jc w:val="both"/>
        <w:rPr>
          <w:sz w:val="20"/>
          <w:szCs w:val="20"/>
        </w:rPr>
      </w:pPr>
      <w:proofErr w:type="spellStart"/>
      <w:r w:rsidRPr="008E12AF">
        <w:rPr>
          <w:sz w:val="20"/>
          <w:szCs w:val="20"/>
        </w:rPr>
        <w:t>AOI</w:t>
      </w:r>
      <w:proofErr w:type="spellEnd"/>
      <w:r w:rsidRPr="008E12AF">
        <w:rPr>
          <w:sz w:val="20"/>
          <w:szCs w:val="20"/>
        </w:rPr>
        <w:t xml:space="preserve"> – 04/</w:t>
      </w:r>
      <w:proofErr w:type="spellStart"/>
      <w:r w:rsidRPr="008E12AF">
        <w:rPr>
          <w:sz w:val="20"/>
          <w:szCs w:val="20"/>
        </w:rPr>
        <w:t>COMEG</w:t>
      </w:r>
      <w:proofErr w:type="spellEnd"/>
      <w:r w:rsidRPr="008E12AF">
        <w:rPr>
          <w:sz w:val="20"/>
          <w:szCs w:val="20"/>
        </w:rPr>
        <w:t xml:space="preserve">/2014 sayısını taşıyan ihale dosyası, 18 Nisan 2014 Cuma gününden itibaren </w:t>
      </w:r>
      <w:proofErr w:type="spellStart"/>
      <w:r w:rsidRPr="008E12AF">
        <w:rPr>
          <w:sz w:val="20"/>
          <w:szCs w:val="20"/>
        </w:rPr>
        <w:t>COMEG’in</w:t>
      </w:r>
      <w:proofErr w:type="spellEnd"/>
      <w:r w:rsidRPr="008E12AF">
        <w:rPr>
          <w:sz w:val="20"/>
          <w:szCs w:val="20"/>
        </w:rPr>
        <w:t xml:space="preserve"> aşağıdaki adresinden </w:t>
      </w:r>
      <w:r w:rsidR="00167932" w:rsidRPr="008E12AF">
        <w:rPr>
          <w:sz w:val="20"/>
          <w:szCs w:val="20"/>
        </w:rPr>
        <w:t xml:space="preserve">geri alınamaz 200.000 </w:t>
      </w:r>
      <w:proofErr w:type="spellStart"/>
      <w:r w:rsidR="00167932" w:rsidRPr="008E12AF">
        <w:rPr>
          <w:sz w:val="20"/>
          <w:szCs w:val="20"/>
        </w:rPr>
        <w:t>CFA</w:t>
      </w:r>
      <w:proofErr w:type="spellEnd"/>
      <w:r w:rsidR="00167932" w:rsidRPr="008E12AF">
        <w:rPr>
          <w:sz w:val="20"/>
          <w:szCs w:val="20"/>
        </w:rPr>
        <w:t xml:space="preserve"> Frangı ödeme karşılığı teslim alınabilir:</w:t>
      </w:r>
    </w:p>
    <w:p w:rsidR="00167932" w:rsidRPr="008E12AF" w:rsidRDefault="00167932" w:rsidP="008E12AF">
      <w:pPr>
        <w:spacing w:after="0"/>
        <w:jc w:val="center"/>
        <w:rPr>
          <w:sz w:val="20"/>
          <w:szCs w:val="20"/>
        </w:rPr>
      </w:pPr>
      <w:proofErr w:type="spellStart"/>
      <w:r w:rsidRPr="008E12AF">
        <w:rPr>
          <w:sz w:val="20"/>
          <w:szCs w:val="20"/>
        </w:rPr>
        <w:t>COMEG</w:t>
      </w:r>
      <w:proofErr w:type="spellEnd"/>
    </w:p>
    <w:p w:rsidR="00167932" w:rsidRPr="008E12AF" w:rsidRDefault="00167932" w:rsidP="008E12AF">
      <w:pPr>
        <w:spacing w:after="0"/>
        <w:jc w:val="center"/>
        <w:rPr>
          <w:sz w:val="20"/>
          <w:szCs w:val="20"/>
        </w:rPr>
      </w:pPr>
      <w:proofErr w:type="spellStart"/>
      <w:r w:rsidRPr="008E12AF">
        <w:rPr>
          <w:sz w:val="20"/>
          <w:szCs w:val="20"/>
        </w:rPr>
        <w:t>Zone</w:t>
      </w:r>
      <w:proofErr w:type="spellEnd"/>
      <w:r w:rsidRPr="008E12AF">
        <w:rPr>
          <w:sz w:val="20"/>
          <w:szCs w:val="20"/>
        </w:rPr>
        <w:t xml:space="preserve"> </w:t>
      </w:r>
      <w:proofErr w:type="spellStart"/>
      <w:r w:rsidRPr="008E12AF">
        <w:rPr>
          <w:sz w:val="20"/>
          <w:szCs w:val="20"/>
        </w:rPr>
        <w:t>Industrielle</w:t>
      </w:r>
      <w:proofErr w:type="spellEnd"/>
      <w:r w:rsidRPr="008E12AF">
        <w:rPr>
          <w:sz w:val="20"/>
          <w:szCs w:val="20"/>
        </w:rPr>
        <w:t xml:space="preserve"> de </w:t>
      </w:r>
      <w:proofErr w:type="spellStart"/>
      <w:r w:rsidRPr="008E12AF">
        <w:rPr>
          <w:sz w:val="20"/>
          <w:szCs w:val="20"/>
        </w:rPr>
        <w:t>Mpila</w:t>
      </w:r>
      <w:proofErr w:type="spellEnd"/>
      <w:r w:rsidRPr="008E12AF">
        <w:rPr>
          <w:sz w:val="20"/>
          <w:szCs w:val="20"/>
        </w:rPr>
        <w:t xml:space="preserve"> – </w:t>
      </w:r>
      <w:proofErr w:type="spellStart"/>
      <w:r w:rsidRPr="008E12AF">
        <w:rPr>
          <w:sz w:val="20"/>
          <w:szCs w:val="20"/>
        </w:rPr>
        <w:t>BP</w:t>
      </w:r>
      <w:proofErr w:type="spellEnd"/>
      <w:r w:rsidRPr="008E12AF">
        <w:rPr>
          <w:sz w:val="20"/>
          <w:szCs w:val="20"/>
        </w:rPr>
        <w:t xml:space="preserve"> 1156 Brazzaville</w:t>
      </w:r>
    </w:p>
    <w:p w:rsidR="00167932" w:rsidRPr="008E12AF" w:rsidRDefault="00167932" w:rsidP="008E12AF">
      <w:pPr>
        <w:spacing w:after="0"/>
        <w:jc w:val="center"/>
        <w:rPr>
          <w:sz w:val="20"/>
          <w:szCs w:val="20"/>
        </w:rPr>
      </w:pPr>
      <w:r w:rsidRPr="008E12AF">
        <w:rPr>
          <w:sz w:val="20"/>
          <w:szCs w:val="20"/>
        </w:rPr>
        <w:t>KONGO CUMHURİYETİ</w:t>
      </w:r>
    </w:p>
    <w:p w:rsidR="00167932" w:rsidRPr="008E12AF" w:rsidRDefault="00167932" w:rsidP="008E12AF">
      <w:pPr>
        <w:spacing w:after="0"/>
        <w:jc w:val="center"/>
        <w:rPr>
          <w:sz w:val="20"/>
          <w:szCs w:val="20"/>
        </w:rPr>
      </w:pPr>
      <w:r w:rsidRPr="008E12AF">
        <w:rPr>
          <w:sz w:val="20"/>
          <w:szCs w:val="20"/>
        </w:rPr>
        <w:t>Tel: +242 05 510 00 89</w:t>
      </w:r>
    </w:p>
    <w:p w:rsidR="00167932" w:rsidRPr="008E12AF" w:rsidRDefault="00167932" w:rsidP="008E12AF">
      <w:pPr>
        <w:spacing w:after="0"/>
        <w:jc w:val="center"/>
        <w:rPr>
          <w:sz w:val="20"/>
          <w:szCs w:val="20"/>
        </w:rPr>
      </w:pPr>
      <w:proofErr w:type="gramStart"/>
      <w:r w:rsidRPr="008E12AF">
        <w:rPr>
          <w:sz w:val="20"/>
          <w:szCs w:val="20"/>
        </w:rPr>
        <w:t>e</w:t>
      </w:r>
      <w:proofErr w:type="gramEnd"/>
      <w:r w:rsidRPr="008E12AF">
        <w:rPr>
          <w:sz w:val="20"/>
          <w:szCs w:val="20"/>
        </w:rPr>
        <w:t xml:space="preserve">-posta: </w:t>
      </w:r>
      <w:hyperlink r:id="rId7" w:history="1">
        <w:r w:rsidR="008E12AF" w:rsidRPr="008E12AF">
          <w:rPr>
            <w:rStyle w:val="Hyperlink"/>
            <w:sz w:val="20"/>
            <w:szCs w:val="20"/>
          </w:rPr>
          <w:t>comeg_congo@yahoo.com</w:t>
        </w:r>
      </w:hyperlink>
    </w:p>
    <w:p w:rsidR="008E12AF" w:rsidRPr="008E12AF" w:rsidRDefault="008E12AF" w:rsidP="008E12AF">
      <w:pPr>
        <w:spacing w:after="0"/>
        <w:jc w:val="center"/>
        <w:rPr>
          <w:sz w:val="20"/>
          <w:szCs w:val="20"/>
        </w:rPr>
      </w:pPr>
    </w:p>
    <w:p w:rsidR="00167932" w:rsidRPr="008E12AF" w:rsidRDefault="00167932" w:rsidP="008E12AF">
      <w:pPr>
        <w:spacing w:after="0"/>
        <w:jc w:val="both"/>
        <w:rPr>
          <w:sz w:val="20"/>
          <w:szCs w:val="20"/>
        </w:rPr>
      </w:pPr>
      <w:r w:rsidRPr="008E12AF">
        <w:rPr>
          <w:sz w:val="20"/>
          <w:szCs w:val="20"/>
        </w:rPr>
        <w:t xml:space="preserve">Ödeme, ya </w:t>
      </w:r>
      <w:proofErr w:type="spellStart"/>
      <w:r w:rsidRPr="008E12AF">
        <w:rPr>
          <w:sz w:val="20"/>
          <w:szCs w:val="20"/>
        </w:rPr>
        <w:t>COMEG</w:t>
      </w:r>
      <w:proofErr w:type="spellEnd"/>
      <w:r w:rsidRPr="008E12AF">
        <w:rPr>
          <w:sz w:val="20"/>
          <w:szCs w:val="20"/>
        </w:rPr>
        <w:t xml:space="preserve"> adına düzenlenmiş çizgili ve vizeli çekle, ya </w:t>
      </w:r>
      <w:proofErr w:type="spellStart"/>
      <w:r w:rsidRPr="008E12AF">
        <w:rPr>
          <w:sz w:val="20"/>
          <w:szCs w:val="20"/>
        </w:rPr>
        <w:t>COMEG’in</w:t>
      </w:r>
      <w:proofErr w:type="spellEnd"/>
      <w:r w:rsidRPr="008E12AF">
        <w:rPr>
          <w:sz w:val="20"/>
          <w:szCs w:val="20"/>
        </w:rPr>
        <w:t xml:space="preserve"> veznesine nakit olarak, ya da </w:t>
      </w:r>
      <w:proofErr w:type="spellStart"/>
      <w:r w:rsidRPr="008E12AF">
        <w:rPr>
          <w:sz w:val="20"/>
          <w:szCs w:val="20"/>
        </w:rPr>
        <w:t>BGFI</w:t>
      </w:r>
      <w:proofErr w:type="spellEnd"/>
      <w:r w:rsidRPr="008E12AF">
        <w:rPr>
          <w:sz w:val="20"/>
          <w:szCs w:val="20"/>
        </w:rPr>
        <w:t xml:space="preserve"> Bankasının aşağıdaki hesabına havaleyle yapılabilir: </w:t>
      </w:r>
      <w:proofErr w:type="spellStart"/>
      <w:r w:rsidRPr="008E12AF">
        <w:rPr>
          <w:sz w:val="20"/>
          <w:szCs w:val="20"/>
        </w:rPr>
        <w:t>RIB</w:t>
      </w:r>
      <w:proofErr w:type="spellEnd"/>
      <w:r w:rsidRPr="008E12AF">
        <w:rPr>
          <w:sz w:val="20"/>
          <w:szCs w:val="20"/>
        </w:rPr>
        <w:t>: 30008 03</w:t>
      </w:r>
      <w:r w:rsidR="00A538F4" w:rsidRPr="008E12AF">
        <w:rPr>
          <w:sz w:val="20"/>
          <w:szCs w:val="20"/>
        </w:rPr>
        <w:t xml:space="preserve">110 </w:t>
      </w:r>
      <w:proofErr w:type="gramStart"/>
      <w:r w:rsidR="00A538F4" w:rsidRPr="008E12AF">
        <w:rPr>
          <w:sz w:val="20"/>
          <w:szCs w:val="20"/>
        </w:rPr>
        <w:t>61001936011</w:t>
      </w:r>
      <w:proofErr w:type="gramEnd"/>
      <w:r w:rsidR="00A538F4" w:rsidRPr="008E12AF">
        <w:rPr>
          <w:sz w:val="20"/>
          <w:szCs w:val="20"/>
        </w:rPr>
        <w:t xml:space="preserve"> 18 – Swift Kodu: </w:t>
      </w:r>
      <w:proofErr w:type="spellStart"/>
      <w:r w:rsidR="00A538F4" w:rsidRPr="008E12AF">
        <w:rPr>
          <w:sz w:val="20"/>
          <w:szCs w:val="20"/>
        </w:rPr>
        <w:t>BGFICGCG</w:t>
      </w:r>
      <w:proofErr w:type="spellEnd"/>
      <w:r w:rsidR="00A538F4" w:rsidRPr="008E12AF">
        <w:rPr>
          <w:sz w:val="20"/>
          <w:szCs w:val="20"/>
        </w:rPr>
        <w:t>.</w:t>
      </w:r>
    </w:p>
    <w:p w:rsidR="008E12AF" w:rsidRPr="008E12AF" w:rsidRDefault="008E12AF" w:rsidP="008E12AF">
      <w:pPr>
        <w:spacing w:after="0"/>
        <w:jc w:val="both"/>
        <w:rPr>
          <w:sz w:val="20"/>
          <w:szCs w:val="20"/>
        </w:rPr>
      </w:pPr>
    </w:p>
    <w:p w:rsidR="00A538F4" w:rsidRPr="008E12AF" w:rsidRDefault="00A538F4" w:rsidP="00E36C86">
      <w:pPr>
        <w:jc w:val="both"/>
        <w:rPr>
          <w:sz w:val="20"/>
          <w:szCs w:val="20"/>
        </w:rPr>
      </w:pPr>
      <w:r w:rsidRPr="008E12AF">
        <w:rPr>
          <w:sz w:val="20"/>
          <w:szCs w:val="20"/>
        </w:rPr>
        <w:t xml:space="preserve">Daha önce 200.000 </w:t>
      </w:r>
      <w:proofErr w:type="spellStart"/>
      <w:r w:rsidRPr="008E12AF">
        <w:rPr>
          <w:sz w:val="20"/>
          <w:szCs w:val="20"/>
        </w:rPr>
        <w:t>CFA</w:t>
      </w:r>
      <w:proofErr w:type="spellEnd"/>
      <w:r w:rsidRPr="008E12AF">
        <w:rPr>
          <w:sz w:val="20"/>
          <w:szCs w:val="20"/>
        </w:rPr>
        <w:t xml:space="preserve"> Frangını ödemiş olan tedarikçiler için ihale dosyası e-posta ile ücretsiz olarak, </w:t>
      </w:r>
      <w:r w:rsidR="008E12AF" w:rsidRPr="008E12AF">
        <w:rPr>
          <w:sz w:val="20"/>
          <w:szCs w:val="20"/>
        </w:rPr>
        <w:t xml:space="preserve">ya da </w:t>
      </w:r>
      <w:r w:rsidRPr="008E12AF">
        <w:rPr>
          <w:sz w:val="20"/>
          <w:szCs w:val="20"/>
        </w:rPr>
        <w:t xml:space="preserve">aynı hükümler çerçevesinde geri alınamaz 150.000 </w:t>
      </w:r>
      <w:proofErr w:type="spellStart"/>
      <w:r w:rsidRPr="008E12AF">
        <w:rPr>
          <w:sz w:val="20"/>
          <w:szCs w:val="20"/>
        </w:rPr>
        <w:t>CFA’lık</w:t>
      </w:r>
      <w:proofErr w:type="spellEnd"/>
      <w:r w:rsidRPr="008E12AF">
        <w:rPr>
          <w:sz w:val="20"/>
          <w:szCs w:val="20"/>
        </w:rPr>
        <w:t xml:space="preserve"> bir ödeme karşılığında </w:t>
      </w:r>
      <w:r w:rsidR="008E12AF" w:rsidRPr="008E12AF">
        <w:rPr>
          <w:sz w:val="20"/>
          <w:szCs w:val="20"/>
        </w:rPr>
        <w:t xml:space="preserve">acele postayla </w:t>
      </w:r>
      <w:r w:rsidRPr="008E12AF">
        <w:rPr>
          <w:sz w:val="20"/>
          <w:szCs w:val="20"/>
        </w:rPr>
        <w:t>gönderilir.</w:t>
      </w:r>
    </w:p>
    <w:p w:rsidR="00A538F4" w:rsidRPr="008E12AF" w:rsidRDefault="00A538F4" w:rsidP="00E36C86">
      <w:pPr>
        <w:jc w:val="both"/>
        <w:rPr>
          <w:sz w:val="20"/>
          <w:szCs w:val="20"/>
        </w:rPr>
      </w:pPr>
      <w:r w:rsidRPr="008E12AF">
        <w:rPr>
          <w:sz w:val="20"/>
          <w:szCs w:val="20"/>
        </w:rPr>
        <w:t>Adaylık dosyaları yukarıda kayıtlı bulunan adrese teslim edilir.</w:t>
      </w:r>
    </w:p>
    <w:p w:rsidR="00A538F4" w:rsidRPr="008E12AF" w:rsidRDefault="00A538F4" w:rsidP="00E36C86">
      <w:pPr>
        <w:jc w:val="both"/>
        <w:rPr>
          <w:sz w:val="20"/>
          <w:szCs w:val="20"/>
        </w:rPr>
      </w:pPr>
      <w:proofErr w:type="spellStart"/>
      <w:r w:rsidRPr="008E12AF">
        <w:rPr>
          <w:sz w:val="20"/>
          <w:szCs w:val="20"/>
        </w:rPr>
        <w:t>COMEG’in</w:t>
      </w:r>
      <w:proofErr w:type="spellEnd"/>
      <w:r w:rsidRPr="008E12AF">
        <w:rPr>
          <w:sz w:val="20"/>
          <w:szCs w:val="20"/>
        </w:rPr>
        <w:t xml:space="preserve"> </w:t>
      </w:r>
      <w:r w:rsidR="008E12AF" w:rsidRPr="008E12AF">
        <w:rPr>
          <w:sz w:val="20"/>
          <w:szCs w:val="20"/>
        </w:rPr>
        <w:t xml:space="preserve">teklifleri </w:t>
      </w:r>
      <w:r w:rsidRPr="008E12AF">
        <w:rPr>
          <w:sz w:val="20"/>
          <w:szCs w:val="20"/>
        </w:rPr>
        <w:t xml:space="preserve">yıl boyunca değerlendireceği adayların dikkatine getirilir. Bu, tedarikçilere yıl boyunca sürekli olarak teklif verme, onay elde etme, dosyalarını güncelleme ve ürün yelpazelerini genişletme </w:t>
      </w:r>
      <w:r w:rsidR="00FB6837" w:rsidRPr="008E12AF">
        <w:rPr>
          <w:sz w:val="20"/>
          <w:szCs w:val="20"/>
        </w:rPr>
        <w:t>imkânı</w:t>
      </w:r>
      <w:r w:rsidRPr="008E12AF">
        <w:rPr>
          <w:sz w:val="20"/>
          <w:szCs w:val="20"/>
        </w:rPr>
        <w:t xml:space="preserve"> verecektir.</w:t>
      </w:r>
    </w:p>
    <w:p w:rsidR="00A538F4" w:rsidRPr="008E12AF" w:rsidRDefault="00A538F4" w:rsidP="00E36C86">
      <w:pPr>
        <w:jc w:val="both"/>
        <w:rPr>
          <w:sz w:val="20"/>
          <w:szCs w:val="20"/>
        </w:rPr>
      </w:pPr>
      <w:r w:rsidRPr="008E12AF">
        <w:rPr>
          <w:sz w:val="20"/>
          <w:szCs w:val="20"/>
        </w:rPr>
        <w:t>Dosyaların inceleme ve onay süreçleri aşağıdaki şekilde düzenlenecektir:</w:t>
      </w:r>
    </w:p>
    <w:tbl>
      <w:tblPr>
        <w:tblStyle w:val="TableGrid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760A5E" w:rsidRPr="008E12AF" w:rsidTr="00760A5E">
        <w:tc>
          <w:tcPr>
            <w:tcW w:w="1842" w:type="dxa"/>
          </w:tcPr>
          <w:p w:rsidR="00760A5E" w:rsidRPr="008E12AF" w:rsidRDefault="00FB6837" w:rsidP="008E1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Fasıl</w:t>
            </w:r>
            <w:r w:rsidR="00760A5E" w:rsidRPr="008E12AF">
              <w:rPr>
                <w:sz w:val="20"/>
                <w:szCs w:val="20"/>
              </w:rPr>
              <w:t xml:space="preserve"> </w:t>
            </w:r>
            <w:r w:rsidR="008E12AF" w:rsidRPr="008E12AF">
              <w:rPr>
                <w:sz w:val="20"/>
                <w:szCs w:val="20"/>
              </w:rPr>
              <w:t>No:</w:t>
            </w:r>
          </w:p>
        </w:tc>
        <w:tc>
          <w:tcPr>
            <w:tcW w:w="1842" w:type="dxa"/>
          </w:tcPr>
          <w:p w:rsidR="00760A5E" w:rsidRPr="008E12AF" w:rsidRDefault="00760A5E" w:rsidP="00760A5E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Son Dosya Teslim Tarihi</w:t>
            </w:r>
          </w:p>
        </w:tc>
        <w:tc>
          <w:tcPr>
            <w:tcW w:w="1842" w:type="dxa"/>
          </w:tcPr>
          <w:p w:rsidR="00760A5E" w:rsidRPr="008E12AF" w:rsidRDefault="00760A5E" w:rsidP="00760A5E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Zarfların Açılma Tarihi</w:t>
            </w:r>
          </w:p>
        </w:tc>
        <w:tc>
          <w:tcPr>
            <w:tcW w:w="1843" w:type="dxa"/>
          </w:tcPr>
          <w:p w:rsidR="00760A5E" w:rsidRPr="008E12AF" w:rsidRDefault="00760A5E" w:rsidP="00760A5E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İnceleme Çalışmalarının Yapılacağı Dönem</w:t>
            </w:r>
          </w:p>
        </w:tc>
        <w:tc>
          <w:tcPr>
            <w:tcW w:w="1843" w:type="dxa"/>
          </w:tcPr>
          <w:p w:rsidR="00760A5E" w:rsidRPr="008E12AF" w:rsidRDefault="00760A5E" w:rsidP="00760A5E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Onay Oturumlarının Yapılacağı Dönem</w:t>
            </w:r>
          </w:p>
        </w:tc>
      </w:tr>
      <w:tr w:rsidR="00760A5E" w:rsidRPr="008E12AF" w:rsidTr="00760A5E">
        <w:tc>
          <w:tcPr>
            <w:tcW w:w="1842" w:type="dxa"/>
          </w:tcPr>
          <w:p w:rsidR="00760A5E" w:rsidRPr="008E12AF" w:rsidRDefault="00760A5E" w:rsidP="00FB6837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 xml:space="preserve">Birinci </w:t>
            </w:r>
            <w:r w:rsidR="00FB6837">
              <w:rPr>
                <w:sz w:val="20"/>
                <w:szCs w:val="20"/>
              </w:rPr>
              <w:t>Fasıl</w:t>
            </w:r>
          </w:p>
        </w:tc>
        <w:tc>
          <w:tcPr>
            <w:tcW w:w="1842" w:type="dxa"/>
          </w:tcPr>
          <w:p w:rsidR="00760A5E" w:rsidRPr="008E12AF" w:rsidRDefault="00760A5E" w:rsidP="008F0A31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26 Mayıs 2014</w:t>
            </w:r>
          </w:p>
          <w:p w:rsidR="00760A5E" w:rsidRPr="008E12AF" w:rsidRDefault="00760A5E" w:rsidP="008F0A31">
            <w:pPr>
              <w:jc w:val="center"/>
              <w:rPr>
                <w:sz w:val="20"/>
                <w:szCs w:val="20"/>
              </w:rPr>
            </w:pPr>
            <w:proofErr w:type="spellStart"/>
            <w:r w:rsidRPr="008E12AF">
              <w:rPr>
                <w:sz w:val="20"/>
                <w:szCs w:val="20"/>
              </w:rPr>
              <w:t>UTC</w:t>
            </w:r>
            <w:proofErr w:type="spellEnd"/>
            <w:r w:rsidRPr="008E12AF">
              <w:rPr>
                <w:sz w:val="20"/>
                <w:szCs w:val="20"/>
              </w:rPr>
              <w:t xml:space="preserve"> 15.30</w:t>
            </w:r>
          </w:p>
        </w:tc>
        <w:tc>
          <w:tcPr>
            <w:tcW w:w="1842" w:type="dxa"/>
          </w:tcPr>
          <w:p w:rsidR="00760A5E" w:rsidRPr="008E12AF" w:rsidRDefault="00760A5E" w:rsidP="008F0A31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27 Mayıs 2014</w:t>
            </w:r>
          </w:p>
          <w:p w:rsidR="00760A5E" w:rsidRPr="008E12AF" w:rsidRDefault="00760A5E" w:rsidP="008F0A31">
            <w:pPr>
              <w:jc w:val="center"/>
              <w:rPr>
                <w:sz w:val="20"/>
                <w:szCs w:val="20"/>
              </w:rPr>
            </w:pPr>
            <w:proofErr w:type="spellStart"/>
            <w:r w:rsidRPr="008E12AF">
              <w:rPr>
                <w:sz w:val="20"/>
                <w:szCs w:val="20"/>
              </w:rPr>
              <w:t>UTC</w:t>
            </w:r>
            <w:proofErr w:type="spellEnd"/>
            <w:r w:rsidRPr="008E12AF">
              <w:rPr>
                <w:sz w:val="20"/>
                <w:szCs w:val="20"/>
              </w:rPr>
              <w:t xml:space="preserve"> 9.00</w:t>
            </w:r>
          </w:p>
        </w:tc>
        <w:tc>
          <w:tcPr>
            <w:tcW w:w="1843" w:type="dxa"/>
          </w:tcPr>
          <w:p w:rsidR="00760A5E" w:rsidRPr="008E12AF" w:rsidRDefault="008F0A31" w:rsidP="008F0A31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28 Mayıs – 10 Haziran 2014</w:t>
            </w:r>
          </w:p>
        </w:tc>
        <w:tc>
          <w:tcPr>
            <w:tcW w:w="1843" w:type="dxa"/>
          </w:tcPr>
          <w:p w:rsidR="00760A5E" w:rsidRPr="008E12AF" w:rsidRDefault="008F0A31" w:rsidP="008F0A31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11 – 13 Haziran 2014</w:t>
            </w:r>
          </w:p>
        </w:tc>
      </w:tr>
      <w:tr w:rsidR="008F0A31" w:rsidRPr="008E12AF" w:rsidTr="00760A5E">
        <w:tc>
          <w:tcPr>
            <w:tcW w:w="1842" w:type="dxa"/>
          </w:tcPr>
          <w:p w:rsidR="008F0A31" w:rsidRPr="008E12AF" w:rsidRDefault="008F0A31" w:rsidP="00FB6837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 xml:space="preserve">İkinci </w:t>
            </w:r>
            <w:r w:rsidR="00FB6837">
              <w:rPr>
                <w:sz w:val="20"/>
                <w:szCs w:val="20"/>
              </w:rPr>
              <w:t>Fasıl</w:t>
            </w:r>
          </w:p>
        </w:tc>
        <w:tc>
          <w:tcPr>
            <w:tcW w:w="1842" w:type="dxa"/>
          </w:tcPr>
          <w:p w:rsidR="008F0A31" w:rsidRPr="008E12AF" w:rsidRDefault="008F0A31" w:rsidP="00BF3839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17 Kasım 2014</w:t>
            </w:r>
            <w:r w:rsidRPr="008E12AF">
              <w:rPr>
                <w:rStyle w:val="FootnoteReference"/>
                <w:sz w:val="20"/>
                <w:szCs w:val="20"/>
              </w:rPr>
              <w:footnoteReference w:id="1"/>
            </w:r>
          </w:p>
          <w:p w:rsidR="008F0A31" w:rsidRPr="008E12AF" w:rsidRDefault="008F0A31" w:rsidP="00BF3839">
            <w:pPr>
              <w:jc w:val="center"/>
              <w:rPr>
                <w:sz w:val="20"/>
                <w:szCs w:val="20"/>
              </w:rPr>
            </w:pPr>
            <w:proofErr w:type="spellStart"/>
            <w:r w:rsidRPr="008E12AF">
              <w:rPr>
                <w:sz w:val="20"/>
                <w:szCs w:val="20"/>
              </w:rPr>
              <w:t>UTC</w:t>
            </w:r>
            <w:proofErr w:type="spellEnd"/>
            <w:r w:rsidRPr="008E12AF">
              <w:rPr>
                <w:sz w:val="20"/>
                <w:szCs w:val="20"/>
              </w:rPr>
              <w:t xml:space="preserve"> 15.30</w:t>
            </w:r>
          </w:p>
        </w:tc>
        <w:tc>
          <w:tcPr>
            <w:tcW w:w="1842" w:type="dxa"/>
          </w:tcPr>
          <w:p w:rsidR="008F0A31" w:rsidRPr="008E12AF" w:rsidRDefault="008F0A31" w:rsidP="00BF3839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18 Kasım 2014</w:t>
            </w:r>
          </w:p>
          <w:p w:rsidR="008F0A31" w:rsidRPr="008E12AF" w:rsidRDefault="008F0A31" w:rsidP="00BF3839">
            <w:pPr>
              <w:jc w:val="center"/>
              <w:rPr>
                <w:sz w:val="20"/>
                <w:szCs w:val="20"/>
              </w:rPr>
            </w:pPr>
            <w:proofErr w:type="spellStart"/>
            <w:r w:rsidRPr="008E12AF">
              <w:rPr>
                <w:sz w:val="20"/>
                <w:szCs w:val="20"/>
              </w:rPr>
              <w:t>UTC</w:t>
            </w:r>
            <w:proofErr w:type="spellEnd"/>
            <w:r w:rsidRPr="008E12AF">
              <w:rPr>
                <w:sz w:val="20"/>
                <w:szCs w:val="20"/>
              </w:rPr>
              <w:t xml:space="preserve"> 9.00</w:t>
            </w:r>
          </w:p>
        </w:tc>
        <w:tc>
          <w:tcPr>
            <w:tcW w:w="1843" w:type="dxa"/>
          </w:tcPr>
          <w:p w:rsidR="008F0A31" w:rsidRPr="008E12AF" w:rsidRDefault="008F0A31" w:rsidP="008F0A31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19 Kasım 2014 – 2 Aralık 2014</w:t>
            </w:r>
          </w:p>
        </w:tc>
        <w:tc>
          <w:tcPr>
            <w:tcW w:w="1843" w:type="dxa"/>
          </w:tcPr>
          <w:p w:rsidR="008F0A31" w:rsidRPr="008E12AF" w:rsidRDefault="008F0A31" w:rsidP="008F0A31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3 – 5 Aralık 2014</w:t>
            </w:r>
          </w:p>
        </w:tc>
      </w:tr>
      <w:tr w:rsidR="008F0A31" w:rsidRPr="008E12AF" w:rsidTr="00760A5E">
        <w:tc>
          <w:tcPr>
            <w:tcW w:w="1842" w:type="dxa"/>
          </w:tcPr>
          <w:p w:rsidR="008F0A31" w:rsidRPr="008E12AF" w:rsidRDefault="008F0A31" w:rsidP="00FB6837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 xml:space="preserve">Üçüncü </w:t>
            </w:r>
            <w:r w:rsidR="00FB6837">
              <w:rPr>
                <w:sz w:val="20"/>
                <w:szCs w:val="20"/>
              </w:rPr>
              <w:t>Fasıl</w:t>
            </w:r>
          </w:p>
        </w:tc>
        <w:tc>
          <w:tcPr>
            <w:tcW w:w="1842" w:type="dxa"/>
          </w:tcPr>
          <w:p w:rsidR="008F0A31" w:rsidRPr="008E12AF" w:rsidRDefault="008F0A31" w:rsidP="008F0A31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11 Mayıs 2015</w:t>
            </w:r>
          </w:p>
          <w:p w:rsidR="008F0A31" w:rsidRPr="008E12AF" w:rsidRDefault="008F0A31" w:rsidP="008F0A31">
            <w:pPr>
              <w:jc w:val="center"/>
              <w:rPr>
                <w:sz w:val="20"/>
                <w:szCs w:val="20"/>
              </w:rPr>
            </w:pPr>
            <w:proofErr w:type="spellStart"/>
            <w:r w:rsidRPr="008E12AF">
              <w:rPr>
                <w:sz w:val="20"/>
                <w:szCs w:val="20"/>
              </w:rPr>
              <w:t>UTC</w:t>
            </w:r>
            <w:proofErr w:type="spellEnd"/>
            <w:r w:rsidRPr="008E12AF">
              <w:rPr>
                <w:sz w:val="20"/>
                <w:szCs w:val="20"/>
              </w:rPr>
              <w:t xml:space="preserve"> 15.00</w:t>
            </w:r>
          </w:p>
        </w:tc>
        <w:tc>
          <w:tcPr>
            <w:tcW w:w="1842" w:type="dxa"/>
          </w:tcPr>
          <w:p w:rsidR="008F0A31" w:rsidRPr="008E12AF" w:rsidRDefault="008F0A31" w:rsidP="008F0A31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12 Mayıs 2015</w:t>
            </w:r>
          </w:p>
          <w:p w:rsidR="008F0A31" w:rsidRPr="008E12AF" w:rsidRDefault="008F0A31" w:rsidP="008F0A31">
            <w:pPr>
              <w:jc w:val="center"/>
              <w:rPr>
                <w:sz w:val="20"/>
                <w:szCs w:val="20"/>
              </w:rPr>
            </w:pPr>
            <w:proofErr w:type="spellStart"/>
            <w:r w:rsidRPr="008E12AF">
              <w:rPr>
                <w:sz w:val="20"/>
                <w:szCs w:val="20"/>
              </w:rPr>
              <w:t>UTC</w:t>
            </w:r>
            <w:proofErr w:type="spellEnd"/>
            <w:r w:rsidRPr="008E12AF">
              <w:rPr>
                <w:sz w:val="20"/>
                <w:szCs w:val="20"/>
              </w:rPr>
              <w:t xml:space="preserve"> 9.00</w:t>
            </w:r>
          </w:p>
        </w:tc>
        <w:tc>
          <w:tcPr>
            <w:tcW w:w="1843" w:type="dxa"/>
          </w:tcPr>
          <w:p w:rsidR="008F0A31" w:rsidRPr="008E12AF" w:rsidRDefault="008F0A31" w:rsidP="008F0A31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13 - 26 Mayıs 2015</w:t>
            </w:r>
          </w:p>
          <w:p w:rsidR="008F0A31" w:rsidRPr="008E12AF" w:rsidRDefault="008F0A31" w:rsidP="008F0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F0A31" w:rsidRPr="008E12AF" w:rsidRDefault="008F0A31" w:rsidP="008F0A31">
            <w:pPr>
              <w:jc w:val="center"/>
              <w:rPr>
                <w:sz w:val="20"/>
                <w:szCs w:val="20"/>
              </w:rPr>
            </w:pPr>
            <w:r w:rsidRPr="008E12AF">
              <w:rPr>
                <w:sz w:val="20"/>
                <w:szCs w:val="20"/>
              </w:rPr>
              <w:t>27 – 29 Mayıs 2015</w:t>
            </w:r>
          </w:p>
        </w:tc>
      </w:tr>
    </w:tbl>
    <w:p w:rsidR="00A538F4" w:rsidRPr="008E12AF" w:rsidRDefault="00A538F4" w:rsidP="00E36C86">
      <w:pPr>
        <w:jc w:val="both"/>
        <w:rPr>
          <w:sz w:val="20"/>
          <w:szCs w:val="20"/>
        </w:rPr>
      </w:pPr>
      <w:r w:rsidRPr="008E12AF">
        <w:rPr>
          <w:sz w:val="20"/>
          <w:szCs w:val="20"/>
        </w:rPr>
        <w:tab/>
      </w:r>
    </w:p>
    <w:p w:rsidR="008F0A31" w:rsidRPr="008E12AF" w:rsidRDefault="00916700" w:rsidP="00E36C86">
      <w:pPr>
        <w:jc w:val="both"/>
        <w:rPr>
          <w:sz w:val="20"/>
          <w:szCs w:val="20"/>
        </w:rPr>
      </w:pPr>
      <w:r>
        <w:rPr>
          <w:sz w:val="20"/>
          <w:szCs w:val="20"/>
        </w:rPr>
        <w:t>Teklif</w:t>
      </w:r>
      <w:r w:rsidR="008F0A31" w:rsidRPr="008E12AF">
        <w:rPr>
          <w:sz w:val="20"/>
          <w:szCs w:val="20"/>
        </w:rPr>
        <w:t xml:space="preserve"> zarfları </w:t>
      </w:r>
      <w:proofErr w:type="spellStart"/>
      <w:r w:rsidR="008F0A31" w:rsidRPr="008E12AF">
        <w:rPr>
          <w:sz w:val="20"/>
          <w:szCs w:val="20"/>
        </w:rPr>
        <w:t>COMEG’in</w:t>
      </w:r>
      <w:proofErr w:type="spellEnd"/>
      <w:r w:rsidR="008F0A31" w:rsidRPr="008E12AF">
        <w:rPr>
          <w:sz w:val="20"/>
          <w:szCs w:val="20"/>
        </w:rPr>
        <w:t xml:space="preserve"> Brazavil’deki </w:t>
      </w:r>
      <w:r w:rsidR="008E12AF" w:rsidRPr="008E12AF">
        <w:rPr>
          <w:sz w:val="20"/>
          <w:szCs w:val="20"/>
        </w:rPr>
        <w:t xml:space="preserve">merkezinde </w:t>
      </w:r>
      <w:r>
        <w:rPr>
          <w:sz w:val="20"/>
          <w:szCs w:val="20"/>
        </w:rPr>
        <w:t>alenen</w:t>
      </w:r>
      <w:r w:rsidR="008E12AF" w:rsidRPr="008E12AF">
        <w:rPr>
          <w:sz w:val="20"/>
          <w:szCs w:val="20"/>
        </w:rPr>
        <w:t xml:space="preserve"> açılacaktır.</w:t>
      </w:r>
    </w:p>
    <w:p w:rsidR="00A538F4" w:rsidRPr="008E12AF" w:rsidRDefault="008F0A31" w:rsidP="008F0A31">
      <w:pPr>
        <w:tabs>
          <w:tab w:val="left" w:pos="7741"/>
        </w:tabs>
        <w:rPr>
          <w:sz w:val="20"/>
          <w:szCs w:val="20"/>
        </w:rPr>
      </w:pPr>
      <w:r w:rsidRPr="008E12AF">
        <w:rPr>
          <w:sz w:val="20"/>
          <w:szCs w:val="20"/>
        </w:rPr>
        <w:tab/>
      </w:r>
    </w:p>
    <w:sectPr w:rsidR="00A538F4" w:rsidRPr="008E12AF" w:rsidSect="00374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69E" w:rsidRDefault="002A769E" w:rsidP="008F0A31">
      <w:pPr>
        <w:spacing w:after="0" w:line="240" w:lineRule="auto"/>
      </w:pPr>
      <w:r>
        <w:separator/>
      </w:r>
    </w:p>
  </w:endnote>
  <w:endnote w:type="continuationSeparator" w:id="0">
    <w:p w:rsidR="002A769E" w:rsidRDefault="002A769E" w:rsidP="008F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69E" w:rsidRDefault="002A769E" w:rsidP="008F0A31">
      <w:pPr>
        <w:spacing w:after="0" w:line="240" w:lineRule="auto"/>
      </w:pPr>
      <w:r>
        <w:separator/>
      </w:r>
    </w:p>
  </w:footnote>
  <w:footnote w:type="continuationSeparator" w:id="0">
    <w:p w:rsidR="002A769E" w:rsidRDefault="002A769E" w:rsidP="008F0A31">
      <w:pPr>
        <w:spacing w:after="0" w:line="240" w:lineRule="auto"/>
      </w:pPr>
      <w:r>
        <w:continuationSeparator/>
      </w:r>
    </w:p>
  </w:footnote>
  <w:footnote w:id="1">
    <w:p w:rsidR="008F0A31" w:rsidRDefault="008F0A31">
      <w:pPr>
        <w:pStyle w:val="FootnoteText"/>
      </w:pPr>
      <w:r>
        <w:rPr>
          <w:rStyle w:val="FootnoteReference"/>
        </w:rPr>
        <w:footnoteRef/>
      </w:r>
      <w:r>
        <w:t xml:space="preserve"> “Kongo </w:t>
      </w:r>
      <w:r>
        <w:rPr>
          <w:rFonts w:ascii="Times New Roman" w:hAnsi="Times New Roman" w:cs="Times New Roman"/>
        </w:rPr>
        <w:t>Temel Sağlık Ürünleri Tedarikinin Yönetimi Komitesi” ikinci oturumun süresinin 17 Şubat 2015’e kadar uzatıldığını Brazavil Büyükelçiliğimize bildirmiştir.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C86"/>
    <w:rsid w:val="00167932"/>
    <w:rsid w:val="002A769E"/>
    <w:rsid w:val="00374296"/>
    <w:rsid w:val="00392104"/>
    <w:rsid w:val="004A56F9"/>
    <w:rsid w:val="00760A5E"/>
    <w:rsid w:val="007655D0"/>
    <w:rsid w:val="007D605B"/>
    <w:rsid w:val="00865DCD"/>
    <w:rsid w:val="008E12AF"/>
    <w:rsid w:val="008F0A31"/>
    <w:rsid w:val="00916700"/>
    <w:rsid w:val="00A538F4"/>
    <w:rsid w:val="00AE468C"/>
    <w:rsid w:val="00BB3681"/>
    <w:rsid w:val="00BD166E"/>
    <w:rsid w:val="00BE046F"/>
    <w:rsid w:val="00D1585B"/>
    <w:rsid w:val="00D432C8"/>
    <w:rsid w:val="00E12864"/>
    <w:rsid w:val="00E36C86"/>
    <w:rsid w:val="00FB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F0A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A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0A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12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eg_congo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CC446-3DAE-4700-8BE5-B7C5163A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2014-12-30T08:45:00Z</dcterms:created>
  <dcterms:modified xsi:type="dcterms:W3CDTF">2015-01-13T09:51:00Z</dcterms:modified>
</cp:coreProperties>
</file>